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«Утверждаю»</w:t>
      </w:r>
    </w:p>
    <w:p w:rsidR="00000000" w:rsidDel="00000000" w:rsidP="00000000" w:rsidRDefault="00000000" w:rsidRPr="00000000" w14:paraId="00000003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Директор центра семейного</w:t>
      </w:r>
    </w:p>
    <w:p w:rsidR="00000000" w:rsidDel="00000000" w:rsidP="00000000" w:rsidRDefault="00000000" w:rsidRPr="00000000" w14:paraId="00000004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образования «Золотое наследие»</w:t>
      </w:r>
    </w:p>
    <w:p w:rsidR="00000000" w:rsidDel="00000000" w:rsidP="00000000" w:rsidRDefault="00000000" w:rsidRPr="00000000" w14:paraId="00000005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 С.В. Малиновская</w:t>
      </w:r>
    </w:p>
    <w:p w:rsidR="00000000" w:rsidDel="00000000" w:rsidP="00000000" w:rsidRDefault="00000000" w:rsidRPr="00000000" w14:paraId="00000006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firstLine="709"/>
        <w:rPr>
          <w:rFonts w:ascii="Times New Roman" w:cs="Times New Roman" w:eastAsia="Times New Roman" w:hAnsi="Times New Roman"/>
        </w:rPr>
        <w:sectPr>
          <w:footerReference r:id="rId7" w:type="default"/>
          <w:footerReference r:id="rId8" w:type="first"/>
          <w:footerReference r:id="rId9" w:type="even"/>
          <w:pgSz w:h="16840" w:w="11900" w:orient="portrait"/>
          <w:pgMar w:bottom="1134" w:top="1134" w:left="1701" w:right="850" w:header="0" w:footer="3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ПОЛОЖЕНИЕ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о проведении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c1c1c"/>
          <w:rtl w:val="0"/>
        </w:rPr>
        <w:t xml:space="preserve">Турнира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 по шахматам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c1c1c"/>
          <w:rtl w:val="0"/>
        </w:rPr>
        <w:t xml:space="preserve">“Золотая осень”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центра «Золотое наследие» для детей 5-8 лет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Калининград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2026 год</w:t>
      </w:r>
    </w:p>
    <w:bookmarkStart w:colFirst="0" w:colLast="0" w:name="bookmark=id.k3zthbyib0qf" w:id="0"/>
    <w:bookmarkEnd w:id="0"/>
    <w:p w:rsidR="00000000" w:rsidDel="00000000" w:rsidP="00000000" w:rsidRDefault="00000000" w:rsidRPr="00000000" w14:paraId="00000023">
      <w:pPr>
        <w:keepNext w:val="1"/>
        <w:keepLines w:val="1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single"/>
          <w:shd w:fill="auto" w:val="clear"/>
          <w:vertAlign w:val="baseline"/>
          <w:rtl w:val="0"/>
        </w:rPr>
        <w:t xml:space="preserve">Цели и задачи: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популяризация и развитие шахмат среди населения Калининградской области;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0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повышение уровня спортивного мастерства;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воспитание подрастающего поколения в духе патриотизма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 верности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традициям;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c1c1c"/>
          <w:sz w:val="24"/>
          <w:szCs w:val="24"/>
          <w:u w:val="none"/>
          <w:shd w:fill="auto" w:val="clear"/>
          <w:vertAlign w:val="baseline"/>
          <w:rtl w:val="0"/>
        </w:rPr>
        <w:t xml:space="preserve">- пропаганда здорового образа жизни, физической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культуры и спорта;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vxn2ool2560n" w:id="1"/>
    <w:bookmarkEnd w:id="1"/>
    <w:p w:rsidR="00000000" w:rsidDel="00000000" w:rsidP="00000000" w:rsidRDefault="00000000" w:rsidRPr="00000000" w14:paraId="0000002A">
      <w:pPr>
        <w:keepNext w:val="1"/>
        <w:keepLines w:val="1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Место и сроки проведения.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Соревнования проводятся в г. Калининграде в помещениях Центра «Золотое наследие» (Мусоргского, 10)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 октября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2026 года.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ljbyocs5g183" w:id="2"/>
    <w:bookmarkEnd w:id="2"/>
    <w:p w:rsidR="00000000" w:rsidDel="00000000" w:rsidP="00000000" w:rsidRDefault="00000000" w:rsidRPr="00000000" w14:paraId="0000002D">
      <w:pPr>
        <w:keepNext w:val="1"/>
        <w:keepLines w:val="1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Организаторы мероприятия.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Общее руководство организацией турнира осуществляет Центр «Золотое наследие»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Непосредственная подготовка и проведение соревнования возлагается на судейскую коллегию.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Главный судья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Вадим Викторович Симиновский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35"/>
        </w:tabs>
        <w:spacing w:after="0" w:before="0" w:line="36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4. Требования к участникам и условия их допуска.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Спортсмены должны быть заявлены в установленном порядке и не иметь медицинских противопоказаний.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 участию допускаются дети с 2018 по 2021 год рождения.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5. Программа мероприятия.</w:t>
      </w:r>
      <w:r w:rsidDel="00000000" w:rsidR="00000000" w:rsidRPr="00000000">
        <w:rPr>
          <w:rtl w:val="0"/>
        </w:rPr>
      </w:r>
    </w:p>
    <w:tbl>
      <w:tblPr>
        <w:tblStyle w:val="Table1"/>
        <w:tblW w:w="9382.0" w:type="dxa"/>
        <w:jc w:val="center"/>
        <w:tblLayout w:type="fixed"/>
        <w:tblLook w:val="0400"/>
      </w:tblPr>
      <w:tblGrid>
        <w:gridCol w:w="2030"/>
        <w:gridCol w:w="2501"/>
        <w:gridCol w:w="4851"/>
        <w:tblGridChange w:id="0">
          <w:tblGrid>
            <w:gridCol w:w="2030"/>
            <w:gridCol w:w="2501"/>
            <w:gridCol w:w="485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Время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Событие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09.30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Регистрация участников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09.55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Открытие спортивных соревнований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тур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времени: 10 минут до конца партии с добавлением 5 секунд на каждый ход, начиная с 1 -го хода, каждому участнику.</w:t>
      </w:r>
    </w:p>
    <w:p w:rsidR="00000000" w:rsidDel="00000000" w:rsidP="00000000" w:rsidRDefault="00000000" w:rsidRPr="00000000" w14:paraId="00000045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bookmarkStart w:colFirst="0" w:colLast="0" w:name="bookmark=id.vu8094puzh4v" w:id="3"/>
    <w:bookmarkEnd w:id="3"/>
    <w:p w:rsidR="00000000" w:rsidDel="00000000" w:rsidP="00000000" w:rsidRDefault="00000000" w:rsidRPr="00000000" w14:paraId="00000046">
      <w:pPr>
        <w:keepNext w:val="1"/>
        <w:keepLines w:val="1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"/>
        </w:tabs>
        <w:spacing w:after="0" w:before="0" w:line="360" w:lineRule="auto"/>
        <w:ind w:left="0" w:right="0" w:firstLine="709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Условия подведения итогов.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 проведения турнира - по швейцарской (7 туров) или по круговой системе (в зависимости от числа участников).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Соревнование проводится по Правилам игры в шахматы, утвержденным Министерством спорта Российской Федерации.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Поведение спортсменов на всех этапах соревнования регламентируется в соответствии с Положением «О спортивных санкциях в виде спорта «шахматы».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Обеспечение читинг-контроля осуществляется в соответствии с требованиями Античитерских правил, утвержденных ФИДЕ, при стандартном уровне защиты.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опоздании на тур более, чем на 10 минут, участнику засчитывается поражение.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Соревнование носит личный характер. Места участников определяются по наибольшей сумме набранных очков.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равенстве набранных очков у двух или более участников в турнире по швейцарской системе преимущество определяется по дополнительным показателям.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12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усеченный коэффициент Бухгольца (без одного худшего результата);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8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коэффициент Бухгольца;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08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большее число побед;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92"/>
        </w:tabs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личная встреча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Запрещается оказывать противоправное влияние на результаты спортивных соревнований, включенных в настоящее Положение.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95"/>
        </w:tabs>
        <w:spacing w:after="0" w:before="0" w:line="360" w:lineRule="auto"/>
        <w:ind w:left="3160" w:right="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Награждение.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Участники, занявшие первое место в каждом турнире, награждаются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грамотой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 призом, второе и третье место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грамотами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 призами.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Настоящее положение является официальным приглашением на соревнования.</w:t>
      </w:r>
      <w:r w:rsidDel="00000000" w:rsidR="00000000" w:rsidRPr="00000000">
        <w:rPr>
          <w:rtl w:val="0"/>
        </w:rPr>
      </w:r>
    </w:p>
    <w:sectPr>
      <w:type w:val="continuous"/>
      <w:pgSz w:h="16840" w:w="11900" w:orient="portrait"/>
      <w:pgMar w:bottom="1134" w:top="1134" w:left="1701" w:right="850" w:header="0" w:footer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line="14.399999999999999" w:lineRule="auto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2KgMBCrEp2r2Yb1IkiBYKbSeDw==">CgMxLjAyD2lkLmszenRoYnlpYjBxZjIPaWQudnhuMm9vbDI1NjBuMg9pZC5samJ5b2NzNWcxODMyD2lkLnZ1ODA5NHB1emg0djgAciExcWMtNjdLN2tWVFV6eHcxUlJFTzZyTU9FbHRibmR4dWI=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